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firstLine="0" w:firstLineChars="0"/>
        <w:rPr>
          <w:rFonts w:ascii="黑体" w:eastAsia="黑体" w:cs="仿宋"/>
          <w:color w:val="auto"/>
        </w:rPr>
      </w:pPr>
      <w:r>
        <w:rPr>
          <w:rFonts w:hint="eastAsia" w:ascii="黑体" w:eastAsia="黑体" w:cs="仿宋"/>
          <w:color w:val="auto"/>
        </w:rPr>
        <w:t>附件8</w:t>
      </w:r>
    </w:p>
    <w:p>
      <w:pPr>
        <w:pStyle w:val="5"/>
        <w:spacing w:line="360" w:lineRule="auto"/>
        <w:ind w:firstLine="0" w:firstLineChars="0"/>
        <w:jc w:val="center"/>
        <w:rPr>
          <w:rFonts w:hint="eastAsia" w:ascii="方正小标宋简体" w:hAnsi="仿宋" w:eastAsia="方正小标宋简体" w:cs="仿宋"/>
          <w:b/>
          <w:bCs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color w:val="auto"/>
          <w:sz w:val="44"/>
          <w:szCs w:val="44"/>
        </w:rPr>
        <w:t>优秀阅读型书院综合评分表</w:t>
      </w:r>
    </w:p>
    <w:p>
      <w:pPr>
        <w:pStyle w:val="5"/>
        <w:spacing w:line="360" w:lineRule="auto"/>
        <w:ind w:firstLine="0" w:firstLineChars="0"/>
        <w:jc w:val="center"/>
        <w:rPr>
          <w:rFonts w:hint="eastAsia" w:hAnsi="仿宋" w:cs="仿宋"/>
          <w:color w:val="auto"/>
        </w:rPr>
      </w:pPr>
      <w:r>
        <w:rPr>
          <w:rFonts w:hint="eastAsia" w:hAnsi="仿宋" w:cs="仿宋"/>
          <w:color w:val="auto"/>
        </w:rPr>
        <w:t>（          学年      学期）</w:t>
      </w:r>
    </w:p>
    <w:tbl>
      <w:tblPr>
        <w:tblStyle w:val="3"/>
        <w:tblW w:w="14126" w:type="dxa"/>
        <w:jc w:val="center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376"/>
        <w:gridCol w:w="1376"/>
        <w:gridCol w:w="1376"/>
        <w:gridCol w:w="1376"/>
        <w:gridCol w:w="1376"/>
        <w:gridCol w:w="1376"/>
        <w:gridCol w:w="1376"/>
        <w:gridCol w:w="1376"/>
        <w:gridCol w:w="101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书院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5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各项分值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纸质图书借阅量分值（占总分比例10%），计10分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入馆次数分值（占总分比例10%），计10分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研修室预约次数分值（占总分比例10%），计10分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教师荐书分值（占总分比20%），计20分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组织开展阅读推广活动（占总分比例10%），计10分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参与图书馆阅读推广活动（占总分比例20%），计20分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优秀学生读者和优秀教师读者比例排行（占总分比例20%），计20分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获得奖项分（附加分，一等奖加10分，二等奖5分，三等奖3分）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综合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成绩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综合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仁智书院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精诚书院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崇德书院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德馨书院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羲和书院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pStyle w:val="5"/>
        <w:spacing w:line="360" w:lineRule="auto"/>
        <w:ind w:firstLine="0" w:firstLineChars="0"/>
        <w:rPr>
          <w:rFonts w:hint="eastAsia"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附注：</w:t>
      </w:r>
    </w:p>
    <w:p>
      <w:pPr>
        <w:pStyle w:val="5"/>
        <w:spacing w:line="360" w:lineRule="auto"/>
        <w:ind w:firstLine="0" w:firstLineChars="0"/>
        <w:jc w:val="left"/>
        <w:rPr>
          <w:rFonts w:hint="eastAsia"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评分要点：1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hAnsi="仿宋" w:cs="仿宋"/>
          <w:color w:val="auto"/>
          <w:sz w:val="24"/>
          <w:szCs w:val="24"/>
        </w:rPr>
        <w:t xml:space="preserve"> 总分值100分（不包括附加分）；</w:t>
      </w:r>
    </w:p>
    <w:p>
      <w:pPr>
        <w:pStyle w:val="5"/>
        <w:spacing w:line="360" w:lineRule="auto"/>
        <w:ind w:firstLine="1200" w:firstLineChars="500"/>
        <w:jc w:val="left"/>
        <w:rPr>
          <w:rFonts w:hint="eastAsia"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2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hAnsi="仿宋" w:cs="仿宋"/>
          <w:color w:val="auto"/>
          <w:sz w:val="24"/>
          <w:szCs w:val="24"/>
        </w:rPr>
        <w:t>纸质图书借阅量、入馆次数和研修室预约次数，第一名为满分，满分30，级差5分；</w:t>
      </w:r>
    </w:p>
    <w:p>
      <w:pPr>
        <w:pStyle w:val="5"/>
        <w:spacing w:line="360" w:lineRule="auto"/>
        <w:ind w:firstLine="1200" w:firstLineChars="500"/>
        <w:jc w:val="left"/>
        <w:rPr>
          <w:rFonts w:hint="eastAsia"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3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hAnsi="仿宋" w:cs="仿宋"/>
          <w:color w:val="auto"/>
          <w:sz w:val="24"/>
          <w:szCs w:val="24"/>
        </w:rPr>
        <w:t xml:space="preserve"> 参与教师荐读活动比例，第一名为满分，满分为20分，级差5分；</w:t>
      </w:r>
    </w:p>
    <w:p>
      <w:pPr>
        <w:pStyle w:val="5"/>
        <w:spacing w:line="360" w:lineRule="auto"/>
        <w:ind w:firstLine="1200" w:firstLineChars="500"/>
        <w:jc w:val="left"/>
        <w:rPr>
          <w:rFonts w:hint="eastAsia"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4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hAnsi="仿宋" w:cs="仿宋"/>
          <w:color w:val="auto"/>
          <w:sz w:val="24"/>
          <w:szCs w:val="24"/>
        </w:rPr>
        <w:t xml:space="preserve"> 组织开展阅读推广活动次数，第一名为满分，满分为10分，级差2分；</w:t>
      </w:r>
    </w:p>
    <w:p>
      <w:pPr>
        <w:pStyle w:val="5"/>
        <w:spacing w:line="360" w:lineRule="auto"/>
        <w:ind w:firstLine="1200" w:firstLineChars="500"/>
        <w:jc w:val="left"/>
        <w:rPr>
          <w:rFonts w:hint="eastAsia"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5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hAnsi="仿宋" w:cs="仿宋"/>
          <w:color w:val="auto"/>
          <w:sz w:val="24"/>
          <w:szCs w:val="24"/>
        </w:rPr>
        <w:t xml:space="preserve"> 参与图书馆阅读推广活动人数比例，第一名为满分，满分为20分，级差5分；</w:t>
      </w:r>
    </w:p>
    <w:p>
      <w:pPr>
        <w:pStyle w:val="5"/>
        <w:spacing w:line="360" w:lineRule="auto"/>
        <w:ind w:firstLine="1200" w:firstLineChars="500"/>
        <w:jc w:val="left"/>
        <w:rPr>
          <w:rFonts w:hint="eastAsia"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6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hAnsi="仿宋" w:cs="仿宋"/>
          <w:color w:val="auto"/>
          <w:sz w:val="24"/>
          <w:szCs w:val="24"/>
        </w:rPr>
        <w:t xml:space="preserve"> 优秀学生读者和优秀教师读者人数比例，第一名为满分，满分为20分，级差5分；</w:t>
      </w:r>
    </w:p>
    <w:p>
      <w:pPr>
        <w:pStyle w:val="5"/>
        <w:spacing w:line="360" w:lineRule="auto"/>
        <w:ind w:firstLine="1200" w:firstLineChars="500"/>
        <w:jc w:val="left"/>
        <w:rPr>
          <w:rFonts w:hint="eastAsia"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7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hAnsi="仿宋" w:cs="仿宋"/>
          <w:color w:val="auto"/>
          <w:sz w:val="24"/>
          <w:szCs w:val="24"/>
        </w:rPr>
        <w:t xml:space="preserve"> 附加分：在图书馆举办的阅读推广活动获得奖项，一等奖加10分，二等奖加5分，三等奖加3分；</w:t>
      </w:r>
    </w:p>
    <w:p>
      <w:pPr>
        <w:pStyle w:val="5"/>
        <w:spacing w:line="360" w:lineRule="auto"/>
        <w:ind w:firstLine="1200" w:firstLineChars="500"/>
        <w:jc w:val="left"/>
        <w:rPr>
          <w:rFonts w:hint="eastAsia" w:hAnsi="仿宋" w:eastAsia="仿宋_GB2312" w:cs="仿宋"/>
          <w:color w:val="auto"/>
          <w:sz w:val="24"/>
          <w:szCs w:val="24"/>
          <w:lang w:eastAsia="zh-CN"/>
        </w:rPr>
        <w:sectPr>
          <w:pgSz w:w="16838" w:h="11906" w:orient="landscape"/>
          <w:pgMar w:top="2098" w:right="1327" w:bottom="1588" w:left="164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hAnsi="仿宋" w:cs="仿宋"/>
          <w:color w:val="auto"/>
          <w:sz w:val="24"/>
          <w:szCs w:val="24"/>
        </w:rPr>
        <w:t>8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hAnsi="仿宋" w:cs="仿宋"/>
          <w:color w:val="auto"/>
          <w:sz w:val="24"/>
          <w:szCs w:val="24"/>
        </w:rPr>
        <w:t>以累计排名第一为优秀阅读组织，名次并列者，以入馆次数得分最高为参考</w:t>
      </w:r>
      <w:r>
        <w:rPr>
          <w:rFonts w:hint="eastAsia" w:hAnsi="仿宋" w:cs="仿宋"/>
          <w:color w:val="auto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93E2A"/>
    <w:rsid w:val="758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汇编正文"/>
    <w:basedOn w:val="1"/>
    <w:qFormat/>
    <w:uiPriority w:val="0"/>
    <w:pPr>
      <w:ind w:firstLine="640" w:firstLineChars="200"/>
    </w:pPr>
    <w:rPr>
      <w:rFonts w:ascii="仿宋_GB2312" w:hAnsi="黑体" w:eastAsia="仿宋_GB2312" w:cs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2019-03-28T03:43:00Z</dcterms:created>
  <dc:creator>Administrator</dc:creator>
  <cp:lastModifiedBy>Administrator</cp:lastModifiedBy>
  <dcterms:modified xsi:type="dcterms:W3CDTF">2019-03-28T03:43:24Z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