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0" w:firstLineChars="0"/>
        <w:rPr>
          <w:rFonts w:ascii="黑体" w:eastAsia="黑体" w:cs="仿宋"/>
          <w:color w:val="auto"/>
        </w:rPr>
      </w:pPr>
      <w:r>
        <w:rPr>
          <w:rFonts w:hint="eastAsia" w:ascii="黑体" w:eastAsia="黑体" w:cs="仿宋"/>
          <w:color w:val="auto"/>
        </w:rPr>
        <w:t>附件6</w:t>
      </w:r>
    </w:p>
    <w:p>
      <w:pPr>
        <w:pStyle w:val="6"/>
        <w:spacing w:line="360" w:lineRule="auto"/>
        <w:ind w:firstLine="0" w:firstLineChars="0"/>
        <w:jc w:val="center"/>
        <w:rPr>
          <w:rFonts w:hint="eastAsia" w:ascii="方正小标宋简体" w:hAnsi="仿宋" w:eastAsia="方正小标宋简体" w:cs="仿宋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仿宋"/>
          <w:b w:val="0"/>
          <w:bCs w:val="0"/>
          <w:color w:val="auto"/>
          <w:sz w:val="36"/>
          <w:szCs w:val="36"/>
        </w:rPr>
        <w:t>优秀阅读型院系综合评分表</w:t>
      </w:r>
    </w:p>
    <w:p>
      <w:pPr>
        <w:pStyle w:val="6"/>
        <w:spacing w:line="360" w:lineRule="auto"/>
        <w:ind w:firstLine="0" w:firstLineChars="0"/>
        <w:jc w:val="center"/>
        <w:rPr>
          <w:rFonts w:hint="eastAsia" w:hAnsi="仿宋" w:cs="仿宋"/>
          <w:color w:val="auto"/>
        </w:rPr>
      </w:pPr>
      <w:r>
        <w:rPr>
          <w:rFonts w:hint="eastAsia" w:hAnsi="仿宋" w:cs="仿宋"/>
          <w:color w:val="auto"/>
        </w:rPr>
        <w:t>（          年）</w:t>
      </w:r>
    </w:p>
    <w:tbl>
      <w:tblPr>
        <w:tblStyle w:val="4"/>
        <w:tblW w:w="12750" w:type="dxa"/>
        <w:jc w:val="center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200"/>
        <w:gridCol w:w="1246"/>
        <w:gridCol w:w="1376"/>
        <w:gridCol w:w="1376"/>
        <w:gridCol w:w="1376"/>
        <w:gridCol w:w="1376"/>
        <w:gridCol w:w="1376"/>
        <w:gridCol w:w="101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院系</w:t>
            </w:r>
          </w:p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6"/>
              <w:snapToGrid w:val="0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各项分值</w:t>
            </w:r>
          </w:p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纸质图书借阅量分值（占总分比例10%），计10分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入馆次数分值（占总分比例10%），计10分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研修室预约次数分值（占总分比例10%），计10分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教师荐书分值（占总分比20%），计20分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馆藏文献图书荐购数量（占总分比例20%），计20分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参与图书馆培训活活动（占总分比例20%），计20分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所在院系优秀教师比例（占总分比例10%），计10分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</w:t>
            </w:r>
          </w:p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</w:t>
            </w:r>
          </w:p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基础医学院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临床学院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护理学院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管理学院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医疗技术学院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生命科学工程技术学院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外国语院学院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医学工程学院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检验与影像学院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药学院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思想政治理论课教学部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体育部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通识教育管理中心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生物与基础医学实验教学中心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pStyle w:val="6"/>
        <w:spacing w:line="360" w:lineRule="auto"/>
        <w:ind w:firstLine="0" w:firstLineChars="0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附注：</w:t>
      </w:r>
    </w:p>
    <w:p>
      <w:pPr>
        <w:pStyle w:val="6"/>
        <w:spacing w:line="360" w:lineRule="auto"/>
        <w:ind w:firstLine="0" w:firstLineChars="0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评分要点</w:t>
      </w:r>
      <w:r>
        <w:rPr>
          <w:rFonts w:hint="eastAsia" w:hAnsi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hAnsi="仿宋" w:cs="仿宋"/>
          <w:color w:val="auto"/>
          <w:sz w:val="24"/>
          <w:szCs w:val="24"/>
        </w:rPr>
        <w:t>1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 xml:space="preserve"> 总分值100分（不包括附加分）；</w:t>
      </w:r>
    </w:p>
    <w:p>
      <w:pPr>
        <w:pStyle w:val="6"/>
        <w:spacing w:line="360" w:lineRule="auto"/>
        <w:ind w:firstLine="1200" w:firstLineChars="500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2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>纸质图书借阅量、入馆次数和研修室预约次数，第一名为满分，满分30，级差2分；</w:t>
      </w:r>
    </w:p>
    <w:p>
      <w:pPr>
        <w:pStyle w:val="6"/>
        <w:spacing w:line="360" w:lineRule="auto"/>
        <w:ind w:firstLine="1200" w:firstLineChars="500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3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 xml:space="preserve"> 参与教师荐读活动比例，第一名为满分，满分为20分，级差2分；</w:t>
      </w:r>
    </w:p>
    <w:p>
      <w:pPr>
        <w:pStyle w:val="6"/>
        <w:spacing w:line="360" w:lineRule="auto"/>
        <w:ind w:firstLine="1200" w:firstLineChars="500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4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 xml:space="preserve"> 馆藏文献图书荐购数量，第一名为满分，满分为20分，级差2分；</w:t>
      </w:r>
    </w:p>
    <w:p>
      <w:pPr>
        <w:pStyle w:val="6"/>
        <w:spacing w:line="360" w:lineRule="auto"/>
        <w:ind w:firstLine="1200" w:firstLineChars="500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5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 xml:space="preserve"> 参与图书馆培训活动人数，第一名为满分，满分为20分，级差2分；</w:t>
      </w:r>
    </w:p>
    <w:p>
      <w:pPr>
        <w:pStyle w:val="6"/>
        <w:spacing w:line="360" w:lineRule="auto"/>
        <w:ind w:firstLine="1200" w:firstLineChars="500"/>
        <w:rPr>
          <w:rFonts w:hint="eastAsia" w:hAnsi="仿宋" w:cs="仿宋"/>
          <w:color w:val="auto"/>
          <w:sz w:val="24"/>
          <w:szCs w:val="24"/>
        </w:rPr>
      </w:pPr>
      <w:r>
        <w:rPr>
          <w:rFonts w:hint="eastAsia" w:hAnsi="仿宋" w:cs="仿宋"/>
          <w:color w:val="auto"/>
          <w:sz w:val="24"/>
          <w:szCs w:val="24"/>
        </w:rPr>
        <w:t>6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 xml:space="preserve"> 所在院校优秀教师比例排名，第一名为满分，满分为10分，级差1分；</w:t>
      </w:r>
    </w:p>
    <w:p>
      <w:pPr>
        <w:pStyle w:val="6"/>
        <w:spacing w:line="360" w:lineRule="auto"/>
        <w:ind w:firstLine="1200" w:firstLineChars="500"/>
        <w:rPr>
          <w:rFonts w:hint="eastAsia" w:hAnsi="仿宋" w:cs="仿宋"/>
          <w:color w:val="auto"/>
          <w:sz w:val="24"/>
          <w:szCs w:val="24"/>
        </w:rPr>
        <w:sectPr>
          <w:pgSz w:w="16838" w:h="11906" w:orient="landscape"/>
          <w:pgMar w:top="2098" w:right="1327" w:bottom="1588" w:left="164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hAnsi="仿宋" w:cs="仿宋"/>
          <w:color w:val="auto"/>
          <w:sz w:val="24"/>
          <w:szCs w:val="24"/>
        </w:rPr>
        <w:t>7</w:t>
      </w:r>
      <w:r>
        <w:rPr>
          <w:rFonts w:hint="eastAsia" w:hAnsi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hAnsi="仿宋" w:cs="仿宋"/>
          <w:color w:val="auto"/>
          <w:sz w:val="24"/>
          <w:szCs w:val="24"/>
        </w:rPr>
        <w:t>以累计排名第一为优秀阅读型院系，名次并列者，以入馆次数得分最高为参考。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36404"/>
    <w:rsid w:val="1673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汇编正文"/>
    <w:basedOn w:val="1"/>
    <w:qFormat/>
    <w:uiPriority w:val="0"/>
    <w:pPr>
      <w:ind w:firstLine="640" w:firstLineChars="200"/>
    </w:pPr>
    <w:rPr>
      <w:rFonts w:ascii="仿宋_GB2312" w:hAnsi="黑体" w:eastAsia="仿宋_GB2312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2019-03-28T03:42:00Z</dcterms:created>
  <dc:creator>Administrator</dc:creator>
  <cp:lastModifiedBy>Administrator</cp:lastModifiedBy>
  <dcterms:modified xsi:type="dcterms:W3CDTF">2019-03-28T03:42:17Z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