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附件3</w:t>
      </w:r>
    </w:p>
    <w:p>
      <w:pPr>
        <w:pStyle w:val="6"/>
        <w:spacing w:line="360" w:lineRule="auto"/>
        <w:ind w:firstLine="0" w:firstLineChars="0"/>
        <w:jc w:val="center"/>
        <w:rPr>
          <w:rFonts w:hint="default" w:ascii="方正小标宋简体" w:hAnsi="仿宋" w:eastAsia="方正小标宋简体" w:cs="仿宋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仿宋" w:eastAsia="方正小标宋简体" w:cs="仿宋"/>
          <w:color w:val="auto"/>
          <w:kern w:val="2"/>
          <w:sz w:val="36"/>
          <w:szCs w:val="36"/>
          <w:lang w:val="en-US" w:eastAsia="zh-CN" w:bidi="ar-SA"/>
        </w:rPr>
        <w:t>优秀阅读型院系综合评分表</w:t>
      </w:r>
    </w:p>
    <w:p/>
    <w:tbl>
      <w:tblPr>
        <w:tblStyle w:val="4"/>
        <w:tblpPr w:leftFromText="180" w:rightFromText="180" w:vertAnchor="text" w:horzAnchor="page" w:tblpX="1477" w:tblpY="660"/>
        <w:tblOverlap w:val="never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466"/>
        <w:gridCol w:w="1332"/>
        <w:gridCol w:w="1430"/>
        <w:gridCol w:w="1887"/>
        <w:gridCol w:w="1916"/>
        <w:gridCol w:w="1859"/>
        <w:gridCol w:w="120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院系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纸质图书借阅量分值，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入馆次数分值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教师荐书分值，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满分15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馆藏文献图书荐购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满分15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组织或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参与图书馆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资源利用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培训活动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所在院系优秀教师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读者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比例，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综合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综合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智能医学工程学院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口腔技术学院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生物与基础医学实验教学中心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光明眼科学院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60" w:lineRule="auto"/>
        <w:ind w:firstLine="0" w:firstLineChars="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附注：</w:t>
      </w:r>
    </w:p>
    <w:p>
      <w:pPr>
        <w:pStyle w:val="6"/>
        <w:spacing w:line="360" w:lineRule="auto"/>
        <w:ind w:firstLine="0" w:firstLineChars="0"/>
        <w:rPr>
          <w:rFonts w:hint="eastAsia" w:hAnsi="仿宋" w:cs="仿宋"/>
          <w:color w:val="auto"/>
          <w:sz w:val="24"/>
          <w:szCs w:val="24"/>
          <w:lang w:val="en-US" w:eastAsia="zh-CN"/>
        </w:rPr>
      </w:pPr>
      <w:r>
        <w:rPr>
          <w:rFonts w:hint="eastAsia" w:hAnsi="仿宋" w:cs="仿宋"/>
          <w:color w:val="auto"/>
          <w:sz w:val="24"/>
          <w:szCs w:val="24"/>
        </w:rPr>
        <w:t>评分要点：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6"/>
        <w:spacing w:line="360" w:lineRule="auto"/>
        <w:ind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1. 总分值100分；</w:t>
      </w:r>
    </w:p>
    <w:p>
      <w:pPr>
        <w:pStyle w:val="6"/>
        <w:numPr>
          <w:ilvl w:val="0"/>
          <w:numId w:val="0"/>
        </w:numPr>
        <w:spacing w:line="360" w:lineRule="auto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hAnsi="仿宋" w:cs="仿宋"/>
          <w:color w:val="auto"/>
          <w:sz w:val="24"/>
          <w:szCs w:val="24"/>
        </w:rPr>
        <w:t>纸质图书借阅量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第一名</w:t>
      </w:r>
      <w:r>
        <w:rPr>
          <w:rFonts w:hint="eastAsia" w:hAnsi="仿宋" w:cs="仿宋"/>
          <w:color w:val="auto"/>
          <w:sz w:val="24"/>
          <w:szCs w:val="24"/>
        </w:rPr>
        <w:t>满分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20分</w:t>
      </w:r>
      <w:r>
        <w:rPr>
          <w:rFonts w:hint="eastAsia" w:hAnsi="仿宋" w:cs="仿宋"/>
          <w:color w:val="auto"/>
          <w:sz w:val="24"/>
          <w:szCs w:val="24"/>
        </w:rPr>
        <w:t>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6"/>
        <w:numPr>
          <w:ilvl w:val="0"/>
          <w:numId w:val="0"/>
        </w:numPr>
        <w:spacing w:line="360" w:lineRule="auto"/>
        <w:jc w:val="left"/>
        <w:rPr>
          <w:rFonts w:hint="default" w:hAnsi="仿宋" w:eastAsia="仿宋_GB2312" w:cs="仿宋"/>
          <w:color w:val="auto"/>
          <w:sz w:val="24"/>
          <w:szCs w:val="24"/>
          <w:lang w:val="en-US" w:eastAsia="zh-CN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3. 入馆次数分值，第一名</w:t>
      </w:r>
      <w:r>
        <w:rPr>
          <w:rFonts w:hint="eastAsia" w:hAnsi="仿宋" w:cs="仿宋"/>
          <w:color w:val="auto"/>
          <w:sz w:val="24"/>
          <w:szCs w:val="24"/>
        </w:rPr>
        <w:t>满分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20分</w:t>
      </w:r>
      <w:r>
        <w:rPr>
          <w:rFonts w:hint="eastAsia" w:hAnsi="仿宋" w:cs="仿宋"/>
          <w:color w:val="auto"/>
          <w:sz w:val="24"/>
          <w:szCs w:val="24"/>
        </w:rPr>
        <w:t>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6"/>
        <w:spacing w:line="360" w:lineRule="auto"/>
        <w:ind w:left="0" w:leftChars="0"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hAnsi="仿宋" w:cs="仿宋"/>
          <w:color w:val="auto"/>
          <w:sz w:val="24"/>
          <w:szCs w:val="24"/>
        </w:rPr>
        <w:t>. 参与教师荐读活动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hAnsi="仿宋" w:cs="仿宋"/>
          <w:color w:val="auto"/>
          <w:sz w:val="24"/>
          <w:szCs w:val="24"/>
        </w:rPr>
        <w:t>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0.5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6"/>
        <w:spacing w:line="360" w:lineRule="auto"/>
        <w:ind w:left="0" w:leftChars="0"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hAnsi="仿宋" w:cs="仿宋"/>
          <w:color w:val="auto"/>
          <w:sz w:val="24"/>
          <w:szCs w:val="24"/>
        </w:rPr>
        <w:t>. 馆藏文献图书荐购数量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hAnsi="仿宋" w:cs="仿宋"/>
          <w:color w:val="auto"/>
          <w:sz w:val="24"/>
          <w:szCs w:val="24"/>
        </w:rPr>
        <w:t>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0.5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6"/>
        <w:spacing w:line="360" w:lineRule="auto"/>
        <w:ind w:left="0" w:leftChars="0"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hAnsi="仿宋" w:cs="仿宋"/>
          <w:color w:val="auto"/>
          <w:sz w:val="24"/>
          <w:szCs w:val="24"/>
        </w:rPr>
        <w:t xml:space="preserve">. 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组织或</w:t>
      </w:r>
      <w:r>
        <w:rPr>
          <w:rFonts w:hint="eastAsia" w:hAnsi="仿宋" w:cs="仿宋"/>
          <w:color w:val="auto"/>
          <w:sz w:val="24"/>
          <w:szCs w:val="24"/>
        </w:rPr>
        <w:t>参与图书馆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资源利用</w:t>
      </w:r>
      <w:r>
        <w:rPr>
          <w:rFonts w:hint="eastAsia" w:hAnsi="仿宋" w:cs="仿宋"/>
          <w:color w:val="auto"/>
          <w:sz w:val="24"/>
          <w:szCs w:val="24"/>
        </w:rPr>
        <w:t>培训活动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，第一名为满分，满分为20分，级差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6"/>
        <w:spacing w:line="360" w:lineRule="auto"/>
        <w:ind w:left="0" w:leftChars="0"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hAnsi="仿宋" w:cs="仿宋"/>
          <w:color w:val="auto"/>
          <w:sz w:val="24"/>
          <w:szCs w:val="24"/>
        </w:rPr>
        <w:t>.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仿宋" w:cs="仿宋"/>
          <w:color w:val="auto"/>
          <w:sz w:val="24"/>
          <w:szCs w:val="24"/>
        </w:rPr>
        <w:t>所在院校优秀教师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，第一名为满分，满分为10分，级差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0.5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6"/>
        <w:spacing w:line="360" w:lineRule="auto"/>
        <w:ind w:left="0" w:leftChars="0" w:firstLine="0" w:firstLineChars="0"/>
        <w:jc w:val="left"/>
        <w:rPr>
          <w:rFonts w:hint="default" w:hAnsi="仿宋" w:cs="仿宋"/>
          <w:color w:val="auto"/>
          <w:sz w:val="24"/>
          <w:szCs w:val="24"/>
          <w:lang w:val="en-US" w:eastAsia="zh-CN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hAnsi="仿宋" w:cs="仿宋"/>
          <w:color w:val="auto"/>
          <w:sz w:val="24"/>
          <w:szCs w:val="24"/>
        </w:rPr>
        <w:t>.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仿宋" w:cs="仿宋"/>
          <w:color w:val="auto"/>
          <w:sz w:val="24"/>
          <w:szCs w:val="24"/>
        </w:rPr>
        <w:t>以累计排名第一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第二</w:t>
      </w:r>
      <w:r>
        <w:rPr>
          <w:rFonts w:hint="eastAsia" w:hAnsi="仿宋" w:cs="仿宋"/>
          <w:color w:val="auto"/>
          <w:sz w:val="24"/>
          <w:szCs w:val="24"/>
        </w:rPr>
        <w:t>为优秀阅读型院系，名次并列者，以入馆次数得分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高者为参考。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2023-03-19T11:33:48Z</dcterms:created>
  <dc:creator>Administrator</dc:creator>
  <cp:lastModifiedBy>Administrator</cp:lastModifiedBy>
  <dcterms:modified xsi:type="dcterms:W3CDTF">2023-03-19T11:34:44Z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